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both"/>
        <w:rPr>
          <w:rFonts w:ascii="Arial" w:hAnsi="Arial" w:cs="Arial"/>
          <w:b/>
          <w:sz w:val="20"/>
          <w:szCs w:val="20"/>
          <w:lang w:val="en-GB"/>
        </w:rPr>
      </w:pPr>
      <w:r>
        <w:rPr>
          <w:rFonts w:ascii="Arial" w:hAnsi="Arial" w:cs="Arial"/>
          <w:b/>
          <w:sz w:val="20"/>
          <w:szCs w:val="20"/>
          <w:lang w:val="en-GB"/>
        </w:rPr>
        <w:t>THIS NOTICE CONTAINS IMPORTANT INFORMATION THAT IS OF INTEREST TO THE REGISTERED AND BENEFICIAL OWNERS OF THE SUBJECT SECURITIES.  IF BENEFICIAL OWNERS ARE IN ANY DOUBT AS TO THE ACTION THEY SHOULD TAKE, THEY SHOULD SEEK THEIR OWN FINANCIAL AND LEGAL ADVICE, INCLUDING AS TO ANY TAX CONSEQUENCES. ALL DEPOSITORIES, CUSTODIANS AND OTHER INTERMEDIARIES RECEIVING THIS NOTICE ARE REQUESTED TO EXPEDITE THE RE-TRANSMITTAL TO BENEFICIAL OWNERS OF THE SECURITIES IN A TIMELY MANNER.</w:t>
      </w:r>
    </w:p>
    <w:p>
      <w:pPr>
        <w:jc w:val="both"/>
        <w:rPr>
          <w:rFonts w:ascii="Arial" w:hAnsi="Arial" w:cs="Arial"/>
          <w:b/>
          <w:sz w:val="20"/>
          <w:szCs w:val="20"/>
          <w:lang w:val="en-GB"/>
        </w:rPr>
      </w:pPr>
      <w:r>
        <w:rPr>
          <w:rFonts w:ascii="Arial" w:hAnsi="Arial" w:cs="Arial"/>
          <w:b/>
          <w:sz w:val="20"/>
          <w:szCs w:val="20"/>
          <w:lang w:val="en-GB"/>
        </w:rPr>
        <w:t>If you have recently sold or otherwise transferred your entire holding(s) of Notes (as defined below), you should immediately forward this document to the purchaser or transferee or the stockbroker, bank or other agent through whom the sale or transfer was effected for transmission to the purchaser or transferee.</w:t>
      </w:r>
    </w:p>
    <w:p>
      <w:pPr>
        <w:jc w:val="right"/>
        <w:rPr>
          <w:rFonts w:ascii="Arial" w:hAnsi="Arial" w:cs="Arial"/>
          <w:sz w:val="20"/>
          <w:szCs w:val="20"/>
        </w:rPr>
      </w:pPr>
      <w:r>
        <w:rPr>
          <w:rFonts w:ascii="Arial" w:hAnsi="Arial" w:cs="Arial"/>
          <w:sz w:val="20"/>
          <w:szCs w:val="20"/>
        </w:rPr>
        <w:t xml:space="preserve"> _______________ 2022</w:t>
      </w:r>
    </w:p>
    <w:p>
      <w:pPr>
        <w:pStyle w:val="Body1"/>
        <w:spacing w:after="0"/>
        <w:jc w:val="center"/>
        <w:rPr>
          <w:rFonts w:cs="Arial"/>
          <w:b/>
          <w:caps/>
          <w:sz w:val="20"/>
          <w:szCs w:val="20"/>
        </w:rPr>
      </w:pPr>
      <w:r>
        <w:rPr>
          <w:rFonts w:cs="Arial"/>
          <w:b/>
          <w:caps/>
          <w:sz w:val="20"/>
          <w:szCs w:val="20"/>
        </w:rPr>
        <w:t xml:space="preserve">VEON HOLDINGS B.V. </w:t>
      </w:r>
      <w:r>
        <w:rPr>
          <w:rFonts w:cs="Arial"/>
          <w:b/>
          <w:sz w:val="20"/>
          <w:szCs w:val="20"/>
        </w:rPr>
        <w:t>(the "Issuer")</w:t>
      </w:r>
    </w:p>
    <w:p>
      <w:pPr>
        <w:autoSpaceDE w:val="0"/>
        <w:autoSpaceDN w:val="0"/>
        <w:adjustRightInd w:val="0"/>
        <w:spacing w:after="0" w:line="240" w:lineRule="auto"/>
        <w:jc w:val="center"/>
        <w:rPr>
          <w:rFonts w:ascii="Arial" w:hAnsi="Arial" w:cs="Arial"/>
          <w:b/>
          <w:sz w:val="20"/>
          <w:szCs w:val="20"/>
        </w:rPr>
      </w:pPr>
    </w:p>
    <w:p>
      <w:pPr>
        <w:tabs>
          <w:tab w:val="left" w:pos="6470"/>
        </w:tabs>
        <w:spacing w:after="0" w:line="240" w:lineRule="auto"/>
        <w:jc w:val="center"/>
        <w:rPr>
          <w:rFonts w:ascii="Arial" w:hAnsi="Arial" w:cs="Arial"/>
          <w:b/>
          <w:sz w:val="20"/>
          <w:szCs w:val="20"/>
        </w:rPr>
      </w:pPr>
      <w:r>
        <w:rPr>
          <w:rFonts w:ascii="Arial" w:hAnsi="Arial" w:cs="Arial"/>
          <w:b/>
          <w:sz w:val="20"/>
          <w:szCs w:val="20"/>
          <w:lang w:val="en-GB"/>
        </w:rPr>
        <w:t>U.S.$700,000,000 7.25 per cent. Senior Notes due 2023 (the "Notes")</w:t>
      </w:r>
    </w:p>
    <w:p>
      <w:pPr>
        <w:spacing w:after="0" w:line="240" w:lineRule="auto"/>
        <w:jc w:val="center"/>
        <w:rPr>
          <w:rFonts w:ascii="Arial" w:hAnsi="Arial" w:cs="Arial"/>
          <w:b/>
          <w:sz w:val="20"/>
          <w:szCs w:val="20"/>
        </w:rPr>
      </w:pPr>
      <w:r>
        <w:rPr>
          <w:rFonts w:ascii="Arial" w:hAnsi="Arial" w:cs="Arial"/>
          <w:b/>
          <w:sz w:val="20"/>
          <w:szCs w:val="20"/>
        </w:rPr>
        <w:t xml:space="preserve">ISIN: </w:t>
      </w:r>
      <w:r>
        <w:rPr>
          <w:rFonts w:ascii="Arial" w:hAnsi="Arial" w:cs="Arial"/>
          <w:b/>
          <w:sz w:val="20"/>
          <w:szCs w:val="20"/>
          <w:lang w:val="en-GB"/>
        </w:rPr>
        <w:t>XS1400710726 / US36251BAB18</w:t>
      </w:r>
    </w:p>
    <w:p>
      <w:pPr>
        <w:spacing w:line="240" w:lineRule="auto"/>
        <w:jc w:val="center"/>
        <w:rPr>
          <w:rFonts w:ascii="Arial" w:hAnsi="Arial" w:cs="Arial"/>
          <w:sz w:val="20"/>
          <w:szCs w:val="20"/>
        </w:rPr>
      </w:pPr>
      <w:r>
        <w:rPr>
          <w:rFonts w:ascii="Arial" w:hAnsi="Arial" w:cs="Arial"/>
          <w:b/>
          <w:sz w:val="20"/>
          <w:szCs w:val="20"/>
        </w:rPr>
        <w:t xml:space="preserve">Common Code: </w:t>
      </w:r>
      <w:r>
        <w:rPr>
          <w:rFonts w:ascii="Arial" w:hAnsi="Arial" w:cs="Arial"/>
          <w:b/>
          <w:sz w:val="20"/>
          <w:szCs w:val="20"/>
          <w:lang w:val="en-GB"/>
        </w:rPr>
        <w:t>140071072 / 140117722</w:t>
      </w:r>
    </w:p>
    <w:p>
      <w:pPr>
        <w:spacing w:after="120" w:line="264" w:lineRule="auto"/>
        <w:jc w:val="center"/>
        <w:rPr>
          <w:rFonts w:ascii="Arial" w:hAnsi="Arial" w:cs="Arial"/>
          <w:b/>
          <w:sz w:val="20"/>
          <w:szCs w:val="20"/>
        </w:rPr>
      </w:pPr>
      <w:r>
        <w:rPr>
          <w:rFonts w:ascii="Arial" w:hAnsi="Arial" w:cs="Arial"/>
          <w:b/>
          <w:sz w:val="20"/>
          <w:szCs w:val="20"/>
        </w:rPr>
        <w:t>Notice to Noteholders</w:t>
      </w:r>
    </w:p>
    <w:p>
      <w:pPr>
        <w:spacing w:after="210" w:line="264" w:lineRule="auto"/>
        <w:jc w:val="center"/>
        <w:rPr>
          <w:rFonts w:ascii="Arial" w:hAnsi="Arial" w:cs="Arial"/>
          <w:b/>
          <w:sz w:val="20"/>
          <w:szCs w:val="20"/>
        </w:rPr>
      </w:pPr>
      <w:r>
        <w:rPr>
          <w:rFonts w:ascii="Arial" w:eastAsia="Arial Unicode MS" w:hAnsi="Arial" w:cs="Times New Roman"/>
          <w:b/>
          <w:sz w:val="20"/>
          <w:szCs w:val="20"/>
          <w:lang w:val="en-GB" w:eastAsia="en-GB"/>
        </w:rPr>
        <w:t>Prohibition on Acting as Trustee on Russian Related Trusts</w:t>
      </w:r>
    </w:p>
    <w:p>
      <w:pPr>
        <w:spacing w:after="210" w:line="264" w:lineRule="auto"/>
        <w:jc w:val="both"/>
        <w:rPr>
          <w:rFonts w:ascii="Arial" w:eastAsia="Arial Unicode MS" w:hAnsi="Arial" w:cs="Arial"/>
          <w:sz w:val="20"/>
          <w:szCs w:val="20"/>
          <w:lang w:val="en-GB" w:eastAsia="en-GB"/>
        </w:rPr>
      </w:pPr>
      <w:r>
        <w:rPr>
          <w:rFonts w:ascii="Arial" w:eastAsia="Arial Unicode MS" w:hAnsi="Arial" w:cs="Arial"/>
          <w:sz w:val="20"/>
          <w:szCs w:val="20"/>
          <w:lang w:val="en-GB" w:eastAsia="en-GB"/>
        </w:rPr>
        <w:t>Reference is made to the trust deed dated 26 April 2016 between BNY Mellon Corporate Trustee Services Limited as trustee (the "</w:t>
      </w:r>
      <w:r>
        <w:rPr>
          <w:rFonts w:ascii="Arial" w:eastAsia="Arial Unicode MS" w:hAnsi="Arial" w:cs="Arial"/>
          <w:b/>
          <w:sz w:val="20"/>
          <w:szCs w:val="20"/>
          <w:lang w:val="en-GB" w:eastAsia="en-GB"/>
        </w:rPr>
        <w:t>Trustee</w:t>
      </w:r>
      <w:r>
        <w:rPr>
          <w:rFonts w:ascii="Arial" w:eastAsia="Arial Unicode MS" w:hAnsi="Arial" w:cs="Arial"/>
          <w:sz w:val="20"/>
          <w:szCs w:val="20"/>
          <w:lang w:val="en-GB" w:eastAsia="en-GB"/>
        </w:rPr>
        <w:t>") and the Issuer (previously GTH Finance B.V) (the "</w:t>
      </w:r>
      <w:r>
        <w:rPr>
          <w:rFonts w:ascii="Arial" w:eastAsia="Arial Unicode MS" w:hAnsi="Arial" w:cs="Arial"/>
          <w:b/>
          <w:sz w:val="20"/>
          <w:szCs w:val="20"/>
          <w:lang w:val="en-GB" w:eastAsia="en-GB"/>
        </w:rPr>
        <w:t>Trust Deed</w:t>
      </w:r>
      <w:r>
        <w:rPr>
          <w:rFonts w:ascii="Arial" w:eastAsia="Arial Unicode MS" w:hAnsi="Arial" w:cs="Arial"/>
          <w:sz w:val="20"/>
          <w:szCs w:val="20"/>
          <w:lang w:val="en-GB" w:eastAsia="en-GB"/>
        </w:rPr>
        <w:t>").</w:t>
      </w:r>
    </w:p>
    <w:p>
      <w:pPr>
        <w:spacing w:after="210" w:line="264" w:lineRule="auto"/>
        <w:jc w:val="both"/>
        <w:rPr>
          <w:rFonts w:ascii="Arial" w:hAnsi="Arial" w:cs="Arial"/>
          <w:sz w:val="20"/>
          <w:szCs w:val="20"/>
        </w:rPr>
      </w:pPr>
      <w:proofErr w:type="spellStart"/>
      <w:r>
        <w:rPr>
          <w:rFonts w:ascii="Arial" w:hAnsi="Arial" w:cs="Arial"/>
          <w:sz w:val="20"/>
          <w:szCs w:val="20"/>
        </w:rPr>
        <w:t>Capitalised</w:t>
      </w:r>
      <w:proofErr w:type="spellEnd"/>
      <w:r>
        <w:rPr>
          <w:rFonts w:ascii="Arial" w:hAnsi="Arial" w:cs="Arial"/>
          <w:sz w:val="20"/>
          <w:szCs w:val="20"/>
        </w:rPr>
        <w:t xml:space="preserve"> terms used but not otherwise defined herein shall have the meanings ascribed to them in the Trust Deed.</w:t>
      </w:r>
    </w:p>
    <w:p>
      <w:pPr>
        <w:pStyle w:val="Body1"/>
        <w:rPr>
          <w:sz w:val="20"/>
          <w:szCs w:val="20"/>
        </w:rPr>
      </w:pPr>
      <w:r>
        <w:rPr>
          <w:b/>
          <w:i/>
          <w:sz w:val="20"/>
          <w:szCs w:val="20"/>
        </w:rPr>
        <w:t>Prohibition on Provision of Trust Services</w:t>
      </w:r>
      <w:r>
        <w:rPr>
          <w:sz w:val="20"/>
          <w:szCs w:val="20"/>
        </w:rPr>
        <w:t>: on 8 April 2022, the Council of the EU enacted Council Regulation (EU) 2022/576 amending Regulation (EU) No 833/2014 ("</w:t>
      </w:r>
      <w:r>
        <w:rPr>
          <w:b/>
          <w:bCs/>
          <w:sz w:val="20"/>
          <w:szCs w:val="20"/>
        </w:rPr>
        <w:t>Regulation 576</w:t>
      </w:r>
      <w:r>
        <w:rPr>
          <w:sz w:val="20"/>
          <w:szCs w:val="20"/>
        </w:rPr>
        <w:t>"). Regulation 576 (as further amended) has introduced prohibitions on the provision of services to trust arrangements involving Russian or Russian connected nationals or entities from 5 July 2022.</w:t>
      </w:r>
    </w:p>
    <w:p>
      <w:pPr>
        <w:pStyle w:val="Level2"/>
        <w:numPr>
          <w:ilvl w:val="0"/>
          <w:numId w:val="0"/>
        </w:numPr>
        <w:ind w:left="709" w:hanging="709"/>
      </w:pPr>
      <w:r>
        <w:t>On 8 May 2022 the Office of Foreign Assets Control ("</w:t>
      </w:r>
      <w:r>
        <w:rPr>
          <w:b/>
          <w:bCs/>
        </w:rPr>
        <w:t>OFAC</w:t>
      </w:r>
      <w:r>
        <w:t xml:space="preserve">") of the U.S.A. published: </w:t>
      </w:r>
    </w:p>
    <w:p>
      <w:pPr>
        <w:pStyle w:val="Level3"/>
        <w:tabs>
          <w:tab w:val="clear" w:pos="1417"/>
          <w:tab w:val="num" w:pos="709"/>
        </w:tabs>
        <w:ind w:left="709" w:hanging="425"/>
      </w:pPr>
      <w:r>
        <w:t>a determination pursuant to section 1(a)(ii) of Executive Order 14701 (the "</w:t>
      </w:r>
      <w:r>
        <w:rPr>
          <w:b/>
          <w:bCs/>
        </w:rPr>
        <w:t>OFAC Determination</w:t>
      </w:r>
      <w:r>
        <w:t>"). Among other things, the OFAC Determination has introduced prohibitions on the provision of certain services including trust and corporate formation services to any person located in the Russian Federation from 7 June 2022; and</w:t>
      </w:r>
    </w:p>
    <w:p>
      <w:pPr>
        <w:pStyle w:val="Level3"/>
        <w:tabs>
          <w:tab w:val="clear" w:pos="1417"/>
          <w:tab w:val="num" w:pos="709"/>
        </w:tabs>
        <w:ind w:left="709" w:hanging="425"/>
      </w:pPr>
      <w:r>
        <w:t>a general license no. 34 ("</w:t>
      </w:r>
      <w:r>
        <w:rPr>
          <w:b/>
          <w:bCs/>
        </w:rPr>
        <w:t>General License 34</w:t>
      </w:r>
      <w:r>
        <w:t>" and, together with Regulation 576 and the OFAC Determination, the "</w:t>
      </w:r>
      <w:r>
        <w:rPr>
          <w:b/>
          <w:bCs/>
        </w:rPr>
        <w:t>Relevant Legislation</w:t>
      </w:r>
      <w:r>
        <w:t>") authorizing transactions ordinarily incident and necessary to the wind down of the supply of services prohibited by the OFAC Determination until 7 July 2022.</w:t>
      </w:r>
    </w:p>
    <w:p>
      <w:pPr>
        <w:pStyle w:val="Body1"/>
        <w:rPr>
          <w:sz w:val="20"/>
          <w:szCs w:val="20"/>
        </w:rPr>
      </w:pPr>
      <w:r>
        <w:rPr>
          <w:sz w:val="20"/>
          <w:szCs w:val="20"/>
        </w:rPr>
        <w:t xml:space="preserve">The Trustee has determined that certain Notes are potentially impacted by prohibitions introduced by the Relevant Legislation where (i) the relevant trust arrangements have been identified as involving Russian or Russian connected nationals or entities and/or (ii) the relevant trust and corporate formation services have been identified as involving </w:t>
      </w:r>
      <w:r>
        <w:rPr>
          <w:sz w:val="20"/>
          <w:szCs w:val="20"/>
          <w:lang w:val="en-US"/>
        </w:rPr>
        <w:t>persons located in the Russian Federation.  In such instances</w:t>
      </w:r>
      <w:r>
        <w:rPr>
          <w:sz w:val="20"/>
          <w:szCs w:val="20"/>
        </w:rPr>
        <w:t>, the Trustee has notified the Issuer directly.</w:t>
      </w:r>
    </w:p>
    <w:p>
      <w:pPr>
        <w:pStyle w:val="Body1"/>
        <w:rPr>
          <w:sz w:val="20"/>
          <w:szCs w:val="20"/>
        </w:rPr>
      </w:pPr>
      <w:r>
        <w:rPr>
          <w:b/>
          <w:i/>
          <w:sz w:val="20"/>
          <w:szCs w:val="20"/>
        </w:rPr>
        <w:t>Trustee Incapable of Acting</w:t>
      </w:r>
      <w:r>
        <w:rPr>
          <w:sz w:val="20"/>
          <w:szCs w:val="20"/>
        </w:rPr>
        <w:t xml:space="preserve">: the issuance of the Notes may utilise (i) trust arrangements involving Russian nationals or Russian entities within the scope envisaged by Regulation 576 and/or (ii) trust and </w:t>
      </w:r>
      <w:r>
        <w:rPr>
          <w:sz w:val="20"/>
          <w:szCs w:val="20"/>
        </w:rPr>
        <w:lastRenderedPageBreak/>
        <w:t xml:space="preserve">corporate formation services involving persons located in the Russian Federation within the scope envisaged by the OFAC Determination. Notwithstanding that the Trustee is not incorporated in a member state of the EU, the Trustee (or its directors, officers or employees) may be subject to Regulation 576. The Trustee is incorporated in the U.S.A. and therefore it (or its directors, officers or employees) may be subject </w:t>
      </w:r>
      <w:r>
        <w:rPr>
          <w:sz w:val="20"/>
          <w:szCs w:val="20"/>
          <w:lang w:val="en-US"/>
        </w:rPr>
        <w:t xml:space="preserve">to the OFAC Determination. </w:t>
      </w:r>
      <w:r>
        <w:rPr>
          <w:sz w:val="20"/>
          <w:szCs w:val="20"/>
        </w:rPr>
        <w:t xml:space="preserve">The Trustee has determined that, as a result of the Relevant Legislation, </w:t>
      </w:r>
      <w:r>
        <w:t>from the date of this notice, it will</w:t>
      </w:r>
      <w:r>
        <w:rPr>
          <w:sz w:val="20"/>
          <w:szCs w:val="20"/>
        </w:rPr>
        <w:t xml:space="preserve"> no longer be capable of acting as trustee pursuant to the Trust Deed </w:t>
      </w:r>
      <w:proofErr w:type="spellStart"/>
      <w:r>
        <w:rPr>
          <w:sz w:val="20"/>
          <w:szCs w:val="20"/>
        </w:rPr>
        <w:t>on</w:t>
      </w:r>
      <w:proofErr w:type="spellEnd"/>
      <w:r>
        <w:rPr>
          <w:sz w:val="20"/>
          <w:szCs w:val="20"/>
        </w:rPr>
        <w:t xml:space="preserve"> trust arrangements identified as in-scope of Regulation 576 and/or the OFAC Determination. </w:t>
      </w:r>
    </w:p>
    <w:p>
      <w:pPr>
        <w:pStyle w:val="Body1"/>
        <w:rPr>
          <w:sz w:val="20"/>
          <w:szCs w:val="20"/>
        </w:rPr>
      </w:pPr>
      <w:r>
        <w:rPr>
          <w:sz w:val="20"/>
          <w:szCs w:val="20"/>
        </w:rPr>
        <w:t>In the event that the scope of Regulation 576 and/or the OFAC Determination is clarified, or general or specific licenses are granted which permit the provision of trustee services to trust arrangements involving Russian or Russian connected nationals or entities for the purposes of Regulation 576, or which permit trust and corporate formation services to persons located in the Russian Federation for the purposes of the OFAC Determination, the Trustee will re-evaluate whether it is capable of acting as trustee.</w:t>
      </w:r>
    </w:p>
    <w:p>
      <w:pPr>
        <w:pStyle w:val="Body1"/>
        <w:rPr>
          <w:sz w:val="20"/>
          <w:szCs w:val="20"/>
        </w:rPr>
      </w:pPr>
      <w:r>
        <w:rPr>
          <w:b/>
          <w:i/>
          <w:sz w:val="20"/>
          <w:szCs w:val="20"/>
        </w:rPr>
        <w:t>Replacement of Trustee</w:t>
      </w:r>
      <w:r>
        <w:rPr>
          <w:sz w:val="20"/>
          <w:szCs w:val="20"/>
        </w:rPr>
        <w:t xml:space="preserve">: Regulation 576 and the guidance issued by OFAC in relation to the OFAC </w:t>
      </w:r>
      <w:r>
        <w:rPr>
          <w:sz w:val="20"/>
          <w:szCs w:val="20"/>
          <w:lang w:val="en-US"/>
        </w:rPr>
        <w:t xml:space="preserve">Determination </w:t>
      </w:r>
      <w:r>
        <w:rPr>
          <w:sz w:val="20"/>
          <w:szCs w:val="20"/>
        </w:rPr>
        <w:t>also prohibit the Trustee from arranging for another person to act as trustee, and the Trustee could not facilitate any such arrangement. Holders of the Notes should seek their own legal advice with respect to any steps that they wish to take to replace the Trustee in accordance with the Trust Deed or pursuant to general legal protections applicable to beneficiaries of an English law-governed trust arrangement.</w:t>
      </w:r>
    </w:p>
    <w:p>
      <w:pPr>
        <w:jc w:val="both"/>
        <w:rPr>
          <w:rFonts w:ascii="Arial" w:hAnsi="Arial" w:cs="Arial"/>
          <w:b/>
          <w:i/>
          <w:sz w:val="20"/>
          <w:szCs w:val="20"/>
        </w:rPr>
      </w:pPr>
      <w:r>
        <w:rPr>
          <w:rFonts w:ascii="Arial" w:hAnsi="Arial" w:cs="Arial"/>
          <w:b/>
          <w:i/>
          <w:sz w:val="20"/>
          <w:szCs w:val="20"/>
        </w:rPr>
        <w:t>Note:</w:t>
      </w:r>
      <w:r>
        <w:rPr>
          <w:rFonts w:ascii="Arial" w:hAnsi="Arial" w:cs="Arial"/>
          <w:b/>
          <w:i/>
          <w:sz w:val="20"/>
          <w:szCs w:val="20"/>
        </w:rPr>
        <w:tab/>
        <w:t>ISIN and Common Code numbers appearing herein have been included solely for the convenience of the Noteholders. BNY Mellon Corporate Trustee Services Limited assumes no responsibility for the selection or use of such numbers and makes no representation as to the correctness of the numbers listed above.</w:t>
      </w:r>
    </w:p>
    <w:p>
      <w:pPr>
        <w:pStyle w:val="Body1"/>
        <w:spacing w:after="0"/>
        <w:ind w:left="4320"/>
        <w:rPr>
          <w:rFonts w:cs="Arial"/>
          <w:b/>
          <w:bCs/>
          <w:sz w:val="20"/>
          <w:szCs w:val="20"/>
        </w:rPr>
      </w:pPr>
      <w:r>
        <w:rPr>
          <w:rFonts w:cs="Arial"/>
          <w:b/>
          <w:bCs/>
          <w:sz w:val="20"/>
          <w:szCs w:val="20"/>
        </w:rPr>
        <w:t>This notice is given by</w:t>
      </w:r>
    </w:p>
    <w:p>
      <w:pPr>
        <w:pStyle w:val="Body1"/>
        <w:spacing w:after="0"/>
        <w:ind w:left="4320"/>
        <w:rPr>
          <w:rFonts w:cs="Arial"/>
          <w:b/>
          <w:bCs/>
          <w:sz w:val="20"/>
          <w:szCs w:val="20"/>
        </w:rPr>
      </w:pPr>
      <w:r>
        <w:rPr>
          <w:rFonts w:cs="Arial"/>
          <w:b/>
          <w:bCs/>
          <w:sz w:val="20"/>
          <w:szCs w:val="20"/>
        </w:rPr>
        <w:t>BNY MELLON CORPORATE TRUSTEE SERVICES LIMITED</w:t>
      </w:r>
    </w:p>
    <w:p>
      <w:pPr>
        <w:pStyle w:val="Body1"/>
        <w:tabs>
          <w:tab w:val="left" w:pos="0"/>
        </w:tabs>
        <w:spacing w:after="0"/>
        <w:ind w:left="4320"/>
        <w:rPr>
          <w:rFonts w:cs="Arial"/>
          <w:sz w:val="20"/>
          <w:szCs w:val="20"/>
        </w:rPr>
      </w:pPr>
    </w:p>
    <w:p>
      <w:pPr>
        <w:rPr>
          <w:rFonts w:ascii="Arial" w:hAnsi="Arial" w:cs="Arial"/>
          <w:sz w:val="20"/>
          <w:szCs w:val="20"/>
        </w:rPr>
      </w:pPr>
    </w:p>
    <w:p>
      <w:pPr>
        <w:pStyle w:val="Body1"/>
        <w:rPr>
          <w:lang w:val="en-US"/>
        </w:rPr>
      </w:pPr>
    </w:p>
    <w:p>
      <w:pPr>
        <w:pStyle w:val="Body1"/>
        <w:rPr>
          <w:lang w:val="en-US"/>
        </w:rPr>
      </w:pPr>
    </w:p>
    <w:p/>
    <w:sectPr>
      <w:headerReference w:type="default" r:id="rId7"/>
      <w:footerReference w:type="default" r:id="rId8"/>
      <w:headerReference w:type="first" r:id="rId9"/>
      <w:footerReference w:type="first" r:id="rId10"/>
      <w:pgSz w:w="11907" w:h="16840" w:code="9"/>
      <w:pgMar w:top="992"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p>
  <w:p>
    <w:pPr>
      <w:pStyle w:val="Footer"/>
    </w:pPr>
    <w:sdt>
      <w:sdtPr>
        <w:alias w:val="DocID"/>
        <w:tag w:val="DocID"/>
        <w:id w:val="1506560089"/>
        <w:text/>
      </w:sdtPr>
      <w:sdtContent>
        <w:r>
          <w:t xml:space="preserve">     </w:t>
        </w:r>
      </w:sdtContent>
    </w:sdt>
    <w:r>
      <w:tab/>
    </w:r>
    <w:r>
      <w:tab/>
    </w:r>
    <w:sdt>
      <w:sdtPr>
        <w:alias w:val="Firm name"/>
        <w:tag w:val="FirmName"/>
        <w:id w:val="-448084639"/>
        <w:showingPlcHdr/>
        <w:text/>
      </w:sdtPr>
      <w:sdtContent/>
    </w:sdt>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p>
  <w:p>
    <w:pPr>
      <w:pStyle w:val="Footer"/>
    </w:pPr>
    <w:sdt>
      <w:sdtPr>
        <w:alias w:val="DocID"/>
        <w:tag w:val="DocID"/>
        <w:id w:val="-1417707420"/>
        <w:text/>
      </w:sdtPr>
      <w:sdtContent>
        <w:r>
          <w:t xml:space="preserve">     </w:t>
        </w:r>
      </w:sdtContent>
    </w:sdt>
    <w:r>
      <w:tab/>
    </w:r>
    <w:r>
      <w:tab/>
    </w:r>
    <w:sdt>
      <w:sdtPr>
        <w:alias w:val="Firm name"/>
        <w:tag w:val="FirmName"/>
        <w:id w:val="-565877776"/>
        <w:showingPlcHdr/>
        <w:text/>
      </w:sdtPr>
      <w:sdtContent/>
    </w:sdt>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jc w:val="center"/>
    </w:pPr>
    <w:r>
      <w:t xml:space="preserve">- </w:t>
    </w:r>
    <w:r>
      <w:fldChar w:fldCharType="begin"/>
    </w:r>
    <w:r>
      <w:instrText xml:space="preserve"> PAGE  \* MERGEFORMAT </w:instrText>
    </w:r>
    <w:r>
      <w:fldChar w:fldCharType="separate"/>
    </w:r>
    <w:r>
      <w:rPr>
        <w:noProof/>
      </w:rPr>
      <w:t>2</w:t>
    </w:r>
    <w:r>
      <w:fldChar w:fldCharType="end"/>
    </w:r>
    <w:r>
      <w:t xml:space="preserve"> -</w:t>
    </w:r>
  </w:p>
  <w:p>
    <w:pPr>
      <w:pStyle w:val="Header"/>
      <w:jc w:val="left"/>
    </w:pPr>
  </w:p>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jc w:val="center"/>
    </w:pPr>
    <w:r>
      <w:rPr>
        <w:noProof/>
      </w:rPr>
      <w:drawing>
        <wp:inline distT="0" distB="0" distL="0" distR="0">
          <wp:extent cx="1752600" cy="508000"/>
          <wp:effectExtent l="0" t="0" r="0" b="6350"/>
          <wp:docPr id="1" name="Picture 1" descr="Thumbnail of this asset"/>
          <wp:cNvGraphicFramePr/>
          <a:graphic xmlns:a="http://schemas.openxmlformats.org/drawingml/2006/main">
            <a:graphicData uri="http://schemas.openxmlformats.org/drawingml/2006/picture">
              <pic:pic xmlns:pic="http://schemas.openxmlformats.org/drawingml/2006/picture">
                <pic:nvPicPr>
                  <pic:cNvPr id="1964474399" name="Picture 1" descr="Thumbnail of this asset"/>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752600" cy="50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435D8-F016-4773-AFCE-EB7F566D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basedOn w:val="Normal"/>
    <w:link w:val="Body1Char"/>
    <w:qFormat/>
    <w:pPr>
      <w:spacing w:after="210" w:line="264" w:lineRule="auto"/>
      <w:jc w:val="both"/>
    </w:pPr>
    <w:rPr>
      <w:rFonts w:ascii="Arial" w:eastAsia="Arial Unicode MS" w:hAnsi="Arial" w:cs="Times New Roman"/>
      <w:sz w:val="21"/>
      <w:szCs w:val="21"/>
      <w:lang w:val="en-GB" w:eastAsia="en-GB"/>
    </w:rPr>
  </w:style>
  <w:style w:type="paragraph" w:styleId="Footer">
    <w:name w:val="footer"/>
    <w:basedOn w:val="Normal"/>
    <w:link w:val="FooterChar"/>
    <w:uiPriority w:val="13"/>
    <w:unhideWhenUsed/>
    <w:pPr>
      <w:tabs>
        <w:tab w:val="center" w:pos="4536"/>
        <w:tab w:val="right" w:pos="9072"/>
      </w:tabs>
      <w:spacing w:after="0" w:line="264" w:lineRule="auto"/>
    </w:pPr>
    <w:rPr>
      <w:rFonts w:ascii="Arial" w:eastAsia="Arial Unicode MS" w:hAnsi="Arial" w:cs="Times New Roman"/>
      <w:sz w:val="16"/>
      <w:szCs w:val="21"/>
      <w:lang w:val="en-GB" w:eastAsia="en-GB"/>
    </w:rPr>
  </w:style>
  <w:style w:type="character" w:customStyle="1" w:styleId="FooterChar">
    <w:name w:val="Footer Char"/>
    <w:basedOn w:val="DefaultParagraphFont"/>
    <w:link w:val="Footer"/>
    <w:uiPriority w:val="13"/>
    <w:rPr>
      <w:rFonts w:ascii="Arial" w:eastAsia="Arial Unicode MS" w:hAnsi="Arial" w:cs="Times New Roman"/>
      <w:sz w:val="16"/>
      <w:szCs w:val="21"/>
      <w:lang w:eastAsia="en-GB"/>
    </w:rPr>
  </w:style>
  <w:style w:type="paragraph" w:styleId="Header">
    <w:name w:val="header"/>
    <w:basedOn w:val="Normal"/>
    <w:link w:val="HeaderChar"/>
    <w:uiPriority w:val="13"/>
    <w:unhideWhenUsed/>
    <w:pPr>
      <w:tabs>
        <w:tab w:val="center" w:pos="4536"/>
        <w:tab w:val="right" w:pos="9072"/>
      </w:tabs>
      <w:spacing w:after="0" w:line="264" w:lineRule="auto"/>
      <w:jc w:val="both"/>
    </w:pPr>
    <w:rPr>
      <w:rFonts w:ascii="Arial" w:eastAsia="Arial Unicode MS" w:hAnsi="Arial" w:cs="Times New Roman"/>
      <w:sz w:val="21"/>
      <w:szCs w:val="21"/>
      <w:lang w:val="en-GB" w:eastAsia="en-GB"/>
    </w:rPr>
  </w:style>
  <w:style w:type="character" w:customStyle="1" w:styleId="HeaderChar">
    <w:name w:val="Header Char"/>
    <w:basedOn w:val="DefaultParagraphFont"/>
    <w:link w:val="Header"/>
    <w:uiPriority w:val="13"/>
    <w:rPr>
      <w:rFonts w:ascii="Arial" w:eastAsia="Arial Unicode MS" w:hAnsi="Arial" w:cs="Times New Roman"/>
      <w:sz w:val="21"/>
      <w:szCs w:val="21"/>
      <w:lang w:eastAsia="en-GB"/>
    </w:rPr>
  </w:style>
  <w:style w:type="paragraph" w:customStyle="1" w:styleId="Level1">
    <w:name w:val="Level 1"/>
    <w:basedOn w:val="Body1"/>
    <w:next w:val="Normal"/>
    <w:qFormat/>
    <w:pPr>
      <w:numPr>
        <w:numId w:val="1"/>
      </w:numPr>
      <w:outlineLvl w:val="0"/>
    </w:pPr>
  </w:style>
  <w:style w:type="paragraph" w:customStyle="1" w:styleId="Level2">
    <w:name w:val="Level 2"/>
    <w:basedOn w:val="Normal"/>
    <w:next w:val="Normal"/>
    <w:link w:val="Level2Char"/>
    <w:qFormat/>
    <w:pPr>
      <w:numPr>
        <w:ilvl w:val="1"/>
        <w:numId w:val="1"/>
      </w:numPr>
      <w:spacing w:after="210" w:line="264" w:lineRule="auto"/>
      <w:jc w:val="both"/>
      <w:outlineLvl w:val="1"/>
    </w:pPr>
    <w:rPr>
      <w:rFonts w:ascii="Arial" w:eastAsia="Arial Unicode MS" w:hAnsi="Arial" w:cs="Times New Roman"/>
      <w:sz w:val="21"/>
      <w:szCs w:val="21"/>
      <w:lang w:val="en-GB" w:eastAsia="en-GB"/>
    </w:rPr>
  </w:style>
  <w:style w:type="paragraph" w:customStyle="1" w:styleId="Level3">
    <w:name w:val="Level 3"/>
    <w:basedOn w:val="Normal"/>
    <w:next w:val="Normal"/>
    <w:link w:val="Level3Char"/>
    <w:qFormat/>
    <w:pPr>
      <w:numPr>
        <w:ilvl w:val="2"/>
        <w:numId w:val="1"/>
      </w:numPr>
      <w:spacing w:after="210" w:line="264" w:lineRule="auto"/>
      <w:jc w:val="both"/>
      <w:outlineLvl w:val="2"/>
    </w:pPr>
    <w:rPr>
      <w:rFonts w:ascii="Arial" w:eastAsia="Arial Unicode MS" w:hAnsi="Arial" w:cs="Times New Roman"/>
      <w:sz w:val="21"/>
      <w:szCs w:val="21"/>
      <w:lang w:val="en-GB" w:eastAsia="en-GB"/>
    </w:rPr>
  </w:style>
  <w:style w:type="paragraph" w:customStyle="1" w:styleId="Level4">
    <w:name w:val="Level 4"/>
    <w:basedOn w:val="Normal"/>
    <w:next w:val="Normal"/>
    <w:qFormat/>
    <w:pPr>
      <w:numPr>
        <w:ilvl w:val="3"/>
        <w:numId w:val="1"/>
      </w:numPr>
      <w:spacing w:after="210" w:line="264" w:lineRule="auto"/>
      <w:jc w:val="both"/>
      <w:outlineLvl w:val="3"/>
    </w:pPr>
    <w:rPr>
      <w:rFonts w:ascii="Arial" w:eastAsia="Arial Unicode MS" w:hAnsi="Arial" w:cs="Times New Roman"/>
      <w:sz w:val="21"/>
      <w:szCs w:val="21"/>
      <w:lang w:val="en-GB" w:eastAsia="en-GB"/>
    </w:rPr>
  </w:style>
  <w:style w:type="paragraph" w:customStyle="1" w:styleId="Level5">
    <w:name w:val="Level 5"/>
    <w:basedOn w:val="Normal"/>
    <w:next w:val="Normal"/>
    <w:qFormat/>
    <w:pPr>
      <w:numPr>
        <w:ilvl w:val="4"/>
        <w:numId w:val="1"/>
      </w:numPr>
      <w:spacing w:after="210" w:line="264" w:lineRule="auto"/>
      <w:jc w:val="both"/>
      <w:outlineLvl w:val="4"/>
    </w:pPr>
    <w:rPr>
      <w:rFonts w:ascii="Arial" w:eastAsia="Arial Unicode MS" w:hAnsi="Arial" w:cs="Times New Roman"/>
      <w:sz w:val="21"/>
      <w:szCs w:val="21"/>
      <w:lang w:val="en-GB" w:eastAsia="en-GB"/>
    </w:rPr>
  </w:style>
  <w:style w:type="character" w:customStyle="1" w:styleId="Body1Char">
    <w:name w:val="Body 1 Char"/>
    <w:basedOn w:val="DefaultParagraphFont"/>
    <w:link w:val="Body1"/>
    <w:rPr>
      <w:rFonts w:ascii="Arial" w:eastAsia="Arial Unicode MS" w:hAnsi="Arial" w:cs="Times New Roman"/>
      <w:sz w:val="21"/>
      <w:szCs w:val="21"/>
      <w:lang w:eastAsia="en-GB"/>
    </w:rPr>
  </w:style>
  <w:style w:type="character" w:customStyle="1" w:styleId="Level2Char">
    <w:name w:val="Level 2 Char"/>
    <w:basedOn w:val="DefaultParagraphFont"/>
    <w:link w:val="Level2"/>
    <w:rPr>
      <w:rFonts w:ascii="Arial" w:eastAsia="Arial Unicode MS" w:hAnsi="Arial" w:cs="Times New Roman"/>
      <w:sz w:val="21"/>
      <w:szCs w:val="21"/>
      <w:lang w:eastAsia="en-GB"/>
    </w:rPr>
  </w:style>
  <w:style w:type="character" w:customStyle="1" w:styleId="Level3Char">
    <w:name w:val="Level 3 Char"/>
    <w:basedOn w:val="DefaultParagraphFont"/>
    <w:link w:val="Level3"/>
    <w:rPr>
      <w:rFonts w:ascii="Arial" w:eastAsia="Arial Unicode MS" w:hAnsi="Arial"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cid:image003.jpg@01D66A40.FB270D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CDF81-03E0-4FEF-9945-5D757E8B75AD}"/>
</file>

<file path=customXml/itemProps2.xml><?xml version="1.0" encoding="utf-8"?>
<ds:datastoreItem xmlns:ds="http://schemas.openxmlformats.org/officeDocument/2006/customXml" ds:itemID="{B878748E-CAF5-438B-BAE8-26EF17CBAC1C}"/>
</file>

<file path=customXml/itemProps3.xml><?xml version="1.0" encoding="utf-8"?>
<ds:datastoreItem xmlns:ds="http://schemas.openxmlformats.org/officeDocument/2006/customXml" ds:itemID="{433FC4C2-1BB1-475E-B708-8DF1C4AA1232}"/>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jamesmeg</dc:creator>
  <cp:keywords/>
  <dc:description/>
  <cp:lastModifiedBy>jamesmeg</cp:lastModifiedBy>
  <cp:revision>2</cp:revision>
  <dcterms:created xsi:type="dcterms:W3CDTF">2022-11-29T12:35:00Z</dcterms:created>
  <dcterms:modified xsi:type="dcterms:W3CDTF">2022-11-29T13:27:00Z</dcterms:modified>
</cp:coreProperties>
</file>